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DA" w:rsidRDefault="00E66EDA" w:rsidP="00E66EDA">
      <w:pPr>
        <w:shd w:val="clear" w:color="auto" w:fill="FFFFFF"/>
        <w:autoSpaceDE w:val="0"/>
        <w:autoSpaceDN w:val="0"/>
        <w:adjustRightInd w:val="0"/>
        <w:spacing w:after="200" w:line="276" w:lineRule="auto"/>
        <w:jc w:val="center"/>
        <w:rPr>
          <w:rFonts w:cs="Times New Roman"/>
          <w:b/>
          <w:bCs/>
          <w:sz w:val="32"/>
          <w:szCs w:val="32"/>
          <w:lang w:bidi="ar-IQ"/>
        </w:rPr>
      </w:pPr>
      <w:r>
        <w:rPr>
          <w:rFonts w:cs="Times New Roman" w:hint="cs"/>
          <w:b/>
          <w:bCs/>
          <w:sz w:val="32"/>
          <w:szCs w:val="32"/>
          <w:rtl/>
        </w:rPr>
        <w:t>نموذج وصف المقرر</w:t>
      </w:r>
    </w:p>
    <w:p w:rsidR="00E66EDA" w:rsidRDefault="00E66EDA" w:rsidP="00E66EDA">
      <w:pPr>
        <w:shd w:val="clear" w:color="auto" w:fill="FFFFFF"/>
        <w:autoSpaceDE w:val="0"/>
        <w:autoSpaceDN w:val="0"/>
        <w:adjustRightInd w:val="0"/>
        <w:spacing w:before="240" w:after="200" w:line="276" w:lineRule="auto"/>
        <w:rPr>
          <w:rFonts w:cs="Times New Roman"/>
          <w:b/>
          <w:bCs/>
          <w:color w:val="1F4E79"/>
          <w:sz w:val="32"/>
          <w:szCs w:val="32"/>
          <w:rtl/>
          <w:lang w:bidi="ar-IQ"/>
        </w:rPr>
      </w:pPr>
    </w:p>
    <w:p w:rsidR="00E66EDA" w:rsidRDefault="00E66EDA" w:rsidP="00E66EDA">
      <w:pPr>
        <w:shd w:val="clear" w:color="auto" w:fill="FFFFFF"/>
        <w:autoSpaceDE w:val="0"/>
        <w:autoSpaceDN w:val="0"/>
        <w:adjustRightInd w:val="0"/>
        <w:spacing w:before="240" w:after="200" w:line="276" w:lineRule="auto"/>
        <w:rPr>
          <w:b/>
          <w:bCs/>
          <w:sz w:val="32"/>
          <w:szCs w:val="32"/>
          <w:rtl/>
          <w:lang w:bidi="ar-IQ"/>
        </w:rPr>
      </w:pPr>
      <w:r>
        <w:rPr>
          <w:rFonts w:cs="Times New Roman" w:hint="cs"/>
          <w:b/>
          <w:bCs/>
          <w:sz w:val="32"/>
          <w:szCs w:val="32"/>
          <w:rtl/>
          <w:lang w:bidi="ar-IQ"/>
        </w:rPr>
        <w:t>وصف المقرر</w:t>
      </w: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E66EDA" w:rsidTr="00E66EDA">
        <w:trPr>
          <w:trHeight w:val="794"/>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spacing w:before="240" w:after="200" w:line="276" w:lineRule="auto"/>
              <w:jc w:val="both"/>
              <w:rPr>
                <w:rFonts w:ascii="Cambria" w:eastAsia="Calibri" w:hAnsi="Cambria" w:cs="Times New Roman"/>
                <w:b/>
                <w:bCs/>
                <w:color w:val="000000"/>
                <w:sz w:val="32"/>
                <w:szCs w:val="32"/>
                <w:lang w:bidi="ar-IQ"/>
              </w:rPr>
            </w:pPr>
            <w:r>
              <w:rPr>
                <w:rFonts w:ascii="Arial" w:eastAsia="Calibri" w:hAnsi="Arial" w:cs="Arial"/>
                <w:color w:val="000000"/>
                <w:sz w:val="28"/>
                <w:szCs w:val="28"/>
                <w:rtl/>
                <w:lang w:bidi="ar-IQ"/>
              </w:rPr>
              <w:t>يوفر وصف المقرر هذا إيجازاً مقتضياً لأهم خصائص المقرر ومخرجات التعلم المتوقعة من الطالب تحقيقها مبرهناً عما إذا كان قد حقق الاستفادة القصوى من فرص التعلم المتاحة. ولابد من الربط بينها وبين وصف البرنامج.</w:t>
            </w:r>
            <w:r>
              <w:rPr>
                <w:rFonts w:ascii="Cambria" w:eastAsia="Calibri" w:hAnsi="Cambria" w:cs="Times New Roman" w:hint="cs"/>
                <w:b/>
                <w:bCs/>
                <w:color w:val="000000"/>
                <w:sz w:val="32"/>
                <w:szCs w:val="32"/>
                <w:rtl/>
                <w:lang w:bidi="ar-IQ"/>
              </w:rPr>
              <w:t>؛</w:t>
            </w:r>
          </w:p>
        </w:tc>
      </w:tr>
    </w:tbl>
    <w:p w:rsidR="00E66EDA" w:rsidRDefault="00E66EDA" w:rsidP="00E66EDA">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p w:rsidR="00E66EDA" w:rsidRDefault="00E66EDA" w:rsidP="00E66EDA">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p>
    <w:tbl>
      <w:tblPr>
        <w:bidiVisual/>
        <w:tblW w:w="9720"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780"/>
        <w:gridCol w:w="5940"/>
      </w:tblGrid>
      <w:tr w:rsidR="00E66EDA" w:rsidTr="00E66EDA">
        <w:trPr>
          <w:trHeight w:val="624"/>
        </w:trPr>
        <w:tc>
          <w:tcPr>
            <w:tcW w:w="378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1"/>
              </w:numPr>
              <w:shd w:val="clear" w:color="auto" w:fill="FFFFFF"/>
              <w:autoSpaceDE w:val="0"/>
              <w:autoSpaceDN w:val="0"/>
              <w:adjustRightInd w:val="0"/>
              <w:ind w:hanging="288"/>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المؤسسة التعليمية</w:t>
            </w:r>
          </w:p>
        </w:tc>
        <w:tc>
          <w:tcPr>
            <w:tcW w:w="5940" w:type="dxa"/>
            <w:tcBorders>
              <w:top w:val="single" w:sz="4" w:space="0" w:color="auto"/>
              <w:left w:val="single" w:sz="4" w:space="0" w:color="auto"/>
              <w:bottom w:val="single" w:sz="4" w:space="0" w:color="auto"/>
              <w:right w:val="single" w:sz="4" w:space="0" w:color="auto"/>
            </w:tcBorders>
            <w:hideMark/>
          </w:tcPr>
          <w:p w:rsidR="00E66EDA" w:rsidRPr="004137DA" w:rsidRDefault="00E66EDA">
            <w:pPr>
              <w:shd w:val="clear" w:color="auto" w:fill="FFFFFF"/>
              <w:autoSpaceDE w:val="0"/>
              <w:autoSpaceDN w:val="0"/>
              <w:adjustRightInd w:val="0"/>
              <w:rPr>
                <w:rFonts w:ascii="Cambria" w:eastAsia="Calibri" w:hAnsi="Cambria" w:cs="Times New Roman"/>
                <w:sz w:val="28"/>
                <w:szCs w:val="28"/>
                <w:lang w:bidi="ar-IQ"/>
              </w:rPr>
            </w:pPr>
            <w:r w:rsidRPr="004137DA">
              <w:rPr>
                <w:rFonts w:ascii="Cambria" w:eastAsia="Calibri" w:hAnsi="Cambria" w:cs="Times New Roman" w:hint="cs"/>
                <w:sz w:val="28"/>
                <w:szCs w:val="28"/>
                <w:rtl/>
                <w:lang w:bidi="ar-IQ"/>
              </w:rPr>
              <w:t>جامعة ديالى / كلية القانون والعلوم السياسية</w:t>
            </w:r>
          </w:p>
        </w:tc>
      </w:tr>
      <w:tr w:rsidR="00E66EDA" w:rsidTr="00E66EDA">
        <w:trPr>
          <w:trHeight w:val="624"/>
        </w:trPr>
        <w:tc>
          <w:tcPr>
            <w:tcW w:w="378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القسم العلمي  / المركز</w:t>
            </w:r>
          </w:p>
        </w:tc>
        <w:tc>
          <w:tcPr>
            <w:tcW w:w="59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rtl/>
                <w:lang w:bidi="ar-IQ"/>
              </w:rPr>
              <w:t xml:space="preserve"> </w:t>
            </w:r>
            <w:r>
              <w:rPr>
                <w:rFonts w:ascii="Cambria" w:eastAsia="Calibri" w:hAnsi="Cambria" w:cs="Times New Roman"/>
                <w:color w:val="D9D9D9"/>
                <w:sz w:val="28"/>
                <w:szCs w:val="28"/>
                <w:rtl/>
                <w:lang w:bidi="ar-IQ"/>
              </w:rPr>
              <w:t xml:space="preserve"> </w:t>
            </w:r>
            <w:r>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القانون</w:t>
            </w:r>
          </w:p>
        </w:tc>
      </w:tr>
      <w:tr w:rsidR="00E66EDA" w:rsidTr="00E66EDA">
        <w:trPr>
          <w:trHeight w:val="624"/>
        </w:trPr>
        <w:tc>
          <w:tcPr>
            <w:tcW w:w="378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اسم / رمز المقرر</w:t>
            </w:r>
          </w:p>
        </w:tc>
        <w:tc>
          <w:tcPr>
            <w:tcW w:w="59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color w:val="000000"/>
                <w:sz w:val="28"/>
                <w:szCs w:val="28"/>
                <w:lang w:bidi="ar-IQ"/>
              </w:rPr>
              <w:t xml:space="preserve">   </w:t>
            </w:r>
            <w:r>
              <w:rPr>
                <w:rFonts w:ascii="Cambria" w:eastAsia="Calibri" w:hAnsi="Cambria" w:cs="Times New Roman"/>
                <w:color w:val="000000"/>
                <w:sz w:val="28"/>
                <w:szCs w:val="28"/>
                <w:rtl/>
                <w:lang w:bidi="ar-IQ"/>
              </w:rPr>
              <w:t xml:space="preserve"> </w:t>
            </w:r>
            <w:r>
              <w:rPr>
                <w:rFonts w:ascii="Cambria" w:eastAsia="Calibri" w:hAnsi="Cambria" w:cs="Times New Roman" w:hint="cs"/>
                <w:color w:val="000000"/>
                <w:sz w:val="28"/>
                <w:szCs w:val="28"/>
                <w:rtl/>
                <w:lang w:bidi="ar-IQ"/>
              </w:rPr>
              <w:t>القانون الاداري/</w:t>
            </w:r>
            <w:r>
              <w:rPr>
                <w:rFonts w:ascii="Cambria" w:eastAsia="Calibri" w:hAnsi="Cambria" w:cs="Times New Roman"/>
                <w:color w:val="000000"/>
                <w:sz w:val="28"/>
                <w:szCs w:val="28"/>
                <w:lang w:bidi="ar-IQ"/>
              </w:rPr>
              <w:t xml:space="preserve">222DL  </w:t>
            </w:r>
          </w:p>
        </w:tc>
      </w:tr>
      <w:tr w:rsidR="00E66EDA" w:rsidTr="00E66EDA">
        <w:trPr>
          <w:trHeight w:val="624"/>
        </w:trPr>
        <w:tc>
          <w:tcPr>
            <w:tcW w:w="378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أشكال الحضور المتاحة</w:t>
            </w:r>
          </w:p>
        </w:tc>
        <w:tc>
          <w:tcPr>
            <w:tcW w:w="59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اسبوعي</w:t>
            </w:r>
          </w:p>
        </w:tc>
      </w:tr>
      <w:tr w:rsidR="00E66EDA" w:rsidTr="00E66EDA">
        <w:trPr>
          <w:trHeight w:val="624"/>
        </w:trPr>
        <w:tc>
          <w:tcPr>
            <w:tcW w:w="378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الفصل / السنة</w:t>
            </w:r>
          </w:p>
        </w:tc>
        <w:tc>
          <w:tcPr>
            <w:tcW w:w="59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سنوي</w:t>
            </w:r>
          </w:p>
        </w:tc>
      </w:tr>
      <w:tr w:rsidR="00E66EDA" w:rsidTr="00E66EDA">
        <w:trPr>
          <w:trHeight w:val="624"/>
        </w:trPr>
        <w:tc>
          <w:tcPr>
            <w:tcW w:w="378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1"/>
              </w:numPr>
              <w:shd w:val="clear" w:color="auto" w:fill="FFFFFF"/>
              <w:tabs>
                <w:tab w:val="num" w:pos="432"/>
              </w:tabs>
              <w:autoSpaceDE w:val="0"/>
              <w:autoSpaceDN w:val="0"/>
              <w:adjustRightInd w:val="0"/>
              <w:ind w:left="43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عدد الساعات الدراسية (الكلي)</w:t>
            </w:r>
          </w:p>
        </w:tc>
        <w:tc>
          <w:tcPr>
            <w:tcW w:w="59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90 ساعة </w:t>
            </w:r>
          </w:p>
        </w:tc>
      </w:tr>
      <w:tr w:rsidR="00E66EDA" w:rsidTr="00E66EDA">
        <w:trPr>
          <w:trHeight w:val="624"/>
        </w:trPr>
        <w:tc>
          <w:tcPr>
            <w:tcW w:w="378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1"/>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تاريخ إعداد هذا الوصف </w:t>
            </w:r>
          </w:p>
        </w:tc>
        <w:tc>
          <w:tcPr>
            <w:tcW w:w="5940" w:type="dxa"/>
            <w:tcBorders>
              <w:top w:val="single" w:sz="4" w:space="0" w:color="auto"/>
              <w:left w:val="single" w:sz="4" w:space="0" w:color="auto"/>
              <w:bottom w:val="single" w:sz="4" w:space="0" w:color="auto"/>
              <w:right w:val="single" w:sz="4" w:space="0" w:color="auto"/>
            </w:tcBorders>
            <w:hideMark/>
          </w:tcPr>
          <w:p w:rsidR="00E66EDA" w:rsidRDefault="004137DA" w:rsidP="004137DA">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12</w:t>
            </w:r>
            <w:r w:rsidR="00E66EDA">
              <w:rPr>
                <w:rFonts w:ascii="Cambria" w:eastAsia="Calibri" w:hAnsi="Cambria" w:cs="Times New Roman" w:hint="cs"/>
                <w:color w:val="000000"/>
                <w:sz w:val="28"/>
                <w:szCs w:val="28"/>
                <w:rtl/>
                <w:lang w:bidi="ar-IQ"/>
              </w:rPr>
              <w:t>/</w:t>
            </w:r>
            <w:r>
              <w:rPr>
                <w:rFonts w:ascii="Cambria" w:eastAsia="Calibri" w:hAnsi="Cambria" w:cs="Times New Roman" w:hint="cs"/>
                <w:color w:val="000000"/>
                <w:sz w:val="28"/>
                <w:szCs w:val="28"/>
                <w:rtl/>
                <w:lang w:bidi="ar-IQ"/>
              </w:rPr>
              <w:t>2</w:t>
            </w:r>
            <w:r w:rsidR="00E66EDA">
              <w:rPr>
                <w:rFonts w:ascii="Cambria" w:eastAsia="Calibri" w:hAnsi="Cambria" w:cs="Times New Roman" w:hint="cs"/>
                <w:color w:val="000000"/>
                <w:sz w:val="28"/>
                <w:szCs w:val="28"/>
                <w:rtl/>
                <w:lang w:bidi="ar-IQ"/>
              </w:rPr>
              <w:t>/</w:t>
            </w:r>
            <w:r>
              <w:rPr>
                <w:rFonts w:ascii="Cambria" w:eastAsia="Calibri" w:hAnsi="Cambria" w:cs="Times New Roman" w:hint="cs"/>
                <w:color w:val="000000"/>
                <w:sz w:val="28"/>
                <w:szCs w:val="28"/>
                <w:rtl/>
                <w:lang w:bidi="ar-IQ"/>
              </w:rPr>
              <w:t>2018</w:t>
            </w:r>
          </w:p>
        </w:tc>
      </w:tr>
      <w:tr w:rsidR="00E66EDA" w:rsidTr="00E66EDA">
        <w:trPr>
          <w:trHeight w:val="725"/>
        </w:trPr>
        <w:tc>
          <w:tcPr>
            <w:tcW w:w="9720" w:type="dxa"/>
            <w:gridSpan w:val="2"/>
            <w:tcBorders>
              <w:top w:val="single" w:sz="4" w:space="0" w:color="auto"/>
              <w:left w:val="single" w:sz="4" w:space="0" w:color="auto"/>
              <w:bottom w:val="single" w:sz="4" w:space="0" w:color="auto"/>
              <w:right w:val="single" w:sz="4" w:space="0" w:color="auto"/>
            </w:tcBorders>
          </w:tcPr>
          <w:p w:rsidR="00E66EDA" w:rsidRDefault="00E66EDA" w:rsidP="00311CE3">
            <w:pPr>
              <w:numPr>
                <w:ilvl w:val="0"/>
                <w:numId w:val="1"/>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أهداف المقرر</w:t>
            </w:r>
          </w:p>
          <w:p w:rsidR="00E66EDA" w:rsidRDefault="00E66EDA" w:rsidP="00311CE3">
            <w:pPr>
              <w:numPr>
                <w:ilvl w:val="0"/>
                <w:numId w:val="2"/>
              </w:numPr>
              <w:shd w:val="clear" w:color="auto" w:fill="FFFFFF"/>
              <w:autoSpaceDE w:val="0"/>
              <w:autoSpaceDN w:val="0"/>
              <w:adjustRightInd w:val="0"/>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يهدف هذا المقرر معرفة المفاهيم الاساسية في المقرر والقدرة على الربط بينها وتطبيقها عملياً، من خلال معالجة موضوعاته في تعريف الطالب بمبادئ القانون الاداري .</w:t>
            </w:r>
          </w:p>
          <w:p w:rsidR="00E66EDA" w:rsidRDefault="00E66EDA" w:rsidP="00311CE3">
            <w:pPr>
              <w:numPr>
                <w:ilvl w:val="0"/>
                <w:numId w:val="2"/>
              </w:numPr>
              <w:shd w:val="clear" w:color="auto" w:fill="FFFFFF"/>
              <w:autoSpaceDE w:val="0"/>
              <w:autoSpaceDN w:val="0"/>
              <w:adjustRightInd w:val="0"/>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دفع الطالب إلى التعمق الجاد في نظريات تحديد اساس القانون الاداري وخصائص هذا القانون كونه قانون غير مقنن وحديث النشأة ويستمد معظم قواعده من احكام القضاء. </w:t>
            </w:r>
          </w:p>
          <w:p w:rsidR="00E66EDA" w:rsidRDefault="00E66EDA" w:rsidP="00311CE3">
            <w:pPr>
              <w:numPr>
                <w:ilvl w:val="0"/>
                <w:numId w:val="2"/>
              </w:numPr>
              <w:shd w:val="clear" w:color="auto" w:fill="FFFFFF"/>
              <w:autoSpaceDE w:val="0"/>
              <w:autoSpaceDN w:val="0"/>
              <w:adjustRightInd w:val="0"/>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تطوير قدرة الطالب على التفكير الموضوعي والبحث العلمي في مختلف موضوعات هذا المقرر ورفع مستوى ملكة تفكيره القانوني ، والقدرة على تحليل النصوص القانونية.</w:t>
            </w:r>
          </w:p>
          <w:p w:rsidR="00E66EDA" w:rsidRDefault="00E66EDA" w:rsidP="00311CE3">
            <w:pPr>
              <w:numPr>
                <w:ilvl w:val="0"/>
                <w:numId w:val="2"/>
              </w:numPr>
              <w:shd w:val="clear" w:color="auto" w:fill="FFFFFF"/>
              <w:autoSpaceDE w:val="0"/>
              <w:autoSpaceDN w:val="0"/>
              <w:adjustRightInd w:val="0"/>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التعرّف على طبيعة التنظيم الاداري في العراق و بعض الدول المقارنة.</w:t>
            </w:r>
          </w:p>
          <w:p w:rsidR="00E66EDA" w:rsidRDefault="00E66EDA" w:rsidP="00311CE3">
            <w:pPr>
              <w:numPr>
                <w:ilvl w:val="0"/>
                <w:numId w:val="2"/>
              </w:numPr>
              <w:shd w:val="clear" w:color="auto" w:fill="FFFFFF"/>
              <w:autoSpaceDE w:val="0"/>
              <w:autoSpaceDN w:val="0"/>
              <w:adjustRightInd w:val="0"/>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التعرّف على نشاط الادارة ووسائلها في ممارسة هذا النشاط واساليبه.</w:t>
            </w:r>
          </w:p>
          <w:p w:rsidR="00E66EDA" w:rsidRDefault="00E66EDA" w:rsidP="00311CE3">
            <w:pPr>
              <w:numPr>
                <w:ilvl w:val="0"/>
                <w:numId w:val="2"/>
              </w:numPr>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دراسة وفهم الشخصية المعنوية والمرافق العامة وانواعها والوظيفة العامة والاموال العامة والقرارات الادارية والعقود الادارية واحكام كل منها.</w:t>
            </w:r>
          </w:p>
          <w:p w:rsidR="00E66EDA" w:rsidRDefault="00E66EDA" w:rsidP="00311CE3">
            <w:pPr>
              <w:numPr>
                <w:ilvl w:val="0"/>
                <w:numId w:val="2"/>
              </w:numPr>
              <w:jc w:val="both"/>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اكساب الطالب مهارات تساعده في ممارسة المهن القانونية .</w:t>
            </w:r>
          </w:p>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p>
        </w:tc>
      </w:tr>
    </w:tbl>
    <w:p w:rsidR="00E66EDA" w:rsidRDefault="00E66EDA" w:rsidP="00E66EDA">
      <w:pPr>
        <w:shd w:val="clear" w:color="auto" w:fill="FFFFFF"/>
        <w:rPr>
          <w:vanish/>
          <w:rtl/>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E66EDA" w:rsidTr="00E66EDA">
        <w:trPr>
          <w:trHeight w:val="653"/>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3"/>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مخرجات المقرر وطرائق التعليم والتعلم و التقييم</w:t>
            </w:r>
          </w:p>
        </w:tc>
      </w:tr>
      <w:tr w:rsidR="00E66EDA" w:rsidTr="00E66EDA">
        <w:trPr>
          <w:trHeight w:val="2490"/>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ind w:left="43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أ- الأهداف المعرفية  </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أ1- أن يتعرّف الطالب على طبيعة القانون الاداري وخصائصه واساسه.</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أ2-</w:t>
            </w:r>
            <w:r>
              <w:rPr>
                <w:rFonts w:hint="cs"/>
                <w:rtl/>
                <w:lang w:bidi="ar-IQ"/>
              </w:rPr>
              <w:t xml:space="preserve"> </w:t>
            </w:r>
            <w:r>
              <w:rPr>
                <w:rFonts w:ascii="Cambria" w:eastAsia="Calibri" w:hAnsi="Cambria" w:cs="Times New Roman" w:hint="cs"/>
                <w:color w:val="000000"/>
                <w:sz w:val="28"/>
                <w:szCs w:val="28"/>
                <w:rtl/>
                <w:lang w:bidi="ar-IQ"/>
              </w:rPr>
              <w:t>معرفة مفهوم الشخصية المعنوية وانواعها والتمييز بينها.</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أ3- تعلم وفهم طبيعة التنظيم الاداري في العراق ، ونظم الادارة المعتمدة في النظم القانونية المختلفة، والوقوف على عيوب كل منها لايجاد افضلها ومن ثم تطبيقه.</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أ4- أن يتعرف على وسائل الادارة العامة ونشاطها وان يميز بين اعمالها.</w:t>
            </w:r>
          </w:p>
        </w:tc>
      </w:tr>
      <w:tr w:rsidR="00E66EDA" w:rsidTr="00E66EDA">
        <w:trPr>
          <w:trHeight w:val="1631"/>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ind w:left="360"/>
              <w:jc w:val="both"/>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ب -  الأهداف المهاراتية الخاصة بالمقرر. </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ب1 – ان يكتسب الطالب مهارة تحليل النصوص القانونية  وتنمية ملكة التفكير القانوني لديه.</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ب2 – ان تكون للطالب مقدرة فحص القرارات الادارية والبحث في اركانها وبيان مايصيبها من اوجه عدم المشروعية.</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ب3 – مهارة القدرة على تقديم الاستشارات القانونية .</w:t>
            </w:r>
          </w:p>
          <w:p w:rsidR="00E66EDA" w:rsidRDefault="00E66EDA">
            <w:pPr>
              <w:shd w:val="clear" w:color="auto" w:fill="FFFFFF"/>
              <w:autoSpaceDE w:val="0"/>
              <w:autoSpaceDN w:val="0"/>
              <w:adjustRightInd w:val="0"/>
              <w:ind w:left="612"/>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ب4-   مهارة كتابة التظلمات الادارية و اكتساب الطالب القدرة والمهارة الادارية واستحضار الحجج والاسانيد القانونية وهذا ما يؤهله لا شغال الوظائف المختلفة مستقبلا. </w:t>
            </w:r>
          </w:p>
        </w:tc>
      </w:tr>
      <w:tr w:rsidR="00E66EDA" w:rsidTr="00E66EDA">
        <w:trPr>
          <w:trHeight w:val="423"/>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طرائق التعليم والتعلم </w:t>
            </w:r>
          </w:p>
        </w:tc>
      </w:tr>
      <w:tr w:rsidR="00E66EDA" w:rsidTr="00E66EDA">
        <w:trPr>
          <w:trHeight w:val="624"/>
        </w:trPr>
        <w:tc>
          <w:tcPr>
            <w:tcW w:w="9720" w:type="dxa"/>
            <w:tcBorders>
              <w:top w:val="single" w:sz="4" w:space="0" w:color="auto"/>
              <w:left w:val="single" w:sz="4" w:space="0" w:color="auto"/>
              <w:bottom w:val="single" w:sz="4" w:space="0" w:color="auto"/>
              <w:right w:val="single" w:sz="4" w:space="0" w:color="auto"/>
            </w:tcBorders>
          </w:tcPr>
          <w:p w:rsidR="00E66EDA" w:rsidRDefault="00E66EDA" w:rsidP="00311CE3">
            <w:pPr>
              <w:numPr>
                <w:ilvl w:val="0"/>
                <w:numId w:val="4"/>
              </w:numPr>
              <w:shd w:val="clear" w:color="auto" w:fill="FFFFFF"/>
              <w:autoSpaceDE w:val="0"/>
              <w:autoSpaceDN w:val="0"/>
              <w:adjustRightInd w:val="0"/>
              <w:jc w:val="both"/>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طريقة الالقاء مصحوبة بالاستجواب بتوجيه الاسئلة المباشرة للطلبة واشراكهم في المحاضرة.</w:t>
            </w:r>
          </w:p>
          <w:p w:rsidR="00E66EDA" w:rsidRDefault="00E66EDA" w:rsidP="00311CE3">
            <w:pPr>
              <w:numPr>
                <w:ilvl w:val="0"/>
                <w:numId w:val="4"/>
              </w:numPr>
              <w:shd w:val="clear" w:color="auto" w:fill="FFFFFF"/>
              <w:autoSpaceDE w:val="0"/>
              <w:autoSpaceDN w:val="0"/>
              <w:adjustRightInd w:val="0"/>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تكليف الطالب بكتابة تقارير ذات العلاقة بموضوعات المقرر الدراسي.</w:t>
            </w:r>
          </w:p>
          <w:p w:rsidR="00E66EDA" w:rsidRDefault="00E66EDA" w:rsidP="00311CE3">
            <w:pPr>
              <w:numPr>
                <w:ilvl w:val="0"/>
                <w:numId w:val="4"/>
              </w:numPr>
              <w:shd w:val="clear" w:color="auto" w:fill="FFFFFF"/>
              <w:autoSpaceDE w:val="0"/>
              <w:autoSpaceDN w:val="0"/>
              <w:adjustRightInd w:val="0"/>
              <w:jc w:val="both"/>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فتح حلقات نقاشية في قاعة الدرس واثارة موضوعات خلافية والسماح للطلبة بأبداء آرائهم وتبادلها .</w:t>
            </w:r>
          </w:p>
          <w:p w:rsidR="00E66EDA" w:rsidRDefault="00E66EDA">
            <w:pPr>
              <w:shd w:val="clear" w:color="auto" w:fill="FFFFFF"/>
              <w:autoSpaceDE w:val="0"/>
              <w:autoSpaceDN w:val="0"/>
              <w:adjustRightInd w:val="0"/>
              <w:jc w:val="both"/>
              <w:rPr>
                <w:rFonts w:ascii="Cambria" w:eastAsia="Calibri" w:hAnsi="Cambria" w:cs="Times New Roman"/>
                <w:color w:val="000000"/>
                <w:sz w:val="28"/>
                <w:szCs w:val="28"/>
                <w:rtl/>
                <w:lang w:bidi="ar-IQ"/>
              </w:rPr>
            </w:pP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E66EDA" w:rsidTr="00E66EDA">
        <w:trPr>
          <w:trHeight w:val="400"/>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طرائق التقييم </w:t>
            </w:r>
          </w:p>
        </w:tc>
      </w:tr>
      <w:tr w:rsidR="00E66EDA" w:rsidTr="00E66EDA">
        <w:trPr>
          <w:trHeight w:val="624"/>
        </w:trPr>
        <w:tc>
          <w:tcPr>
            <w:tcW w:w="9720" w:type="dxa"/>
            <w:tcBorders>
              <w:top w:val="single" w:sz="4" w:space="0" w:color="auto"/>
              <w:left w:val="single" w:sz="4" w:space="0" w:color="auto"/>
              <w:bottom w:val="single" w:sz="4" w:space="0" w:color="auto"/>
              <w:right w:val="single" w:sz="4" w:space="0" w:color="auto"/>
            </w:tcBorders>
          </w:tcPr>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E66EDA" w:rsidRDefault="00E66EDA" w:rsidP="00311CE3">
            <w:pPr>
              <w:numPr>
                <w:ilvl w:val="0"/>
                <w:numId w:val="5"/>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اجراء اختبارات شفوية وتحريرية.</w:t>
            </w:r>
          </w:p>
          <w:p w:rsidR="00E66EDA" w:rsidRDefault="00E66EDA" w:rsidP="00311CE3">
            <w:pPr>
              <w:numPr>
                <w:ilvl w:val="0"/>
                <w:numId w:val="5"/>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مشاركة الطالب وتفاعله في قاعة الدرس.</w:t>
            </w:r>
          </w:p>
          <w:p w:rsidR="00E66EDA" w:rsidRDefault="00E66EDA" w:rsidP="00311CE3">
            <w:pPr>
              <w:numPr>
                <w:ilvl w:val="0"/>
                <w:numId w:val="5"/>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اداء الانشطة والواجبات المكلف بها.</w:t>
            </w: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E66EDA" w:rsidTr="00E66EDA">
        <w:trPr>
          <w:trHeight w:val="1290"/>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 xml:space="preserve">ج- الأهداف الوجدانية والقيمية </w:t>
            </w:r>
          </w:p>
          <w:p w:rsidR="00E66EDA" w:rsidRDefault="00E66EDA">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ج1-القدرة على التحدث امام جمهور من الناس والمناقشة .</w:t>
            </w:r>
          </w:p>
          <w:p w:rsidR="00E66EDA" w:rsidRDefault="00E66EDA">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ج2-تعلم العمل الجماعي والتعاون في انجاز المهام.</w:t>
            </w:r>
          </w:p>
          <w:p w:rsidR="00E66EDA" w:rsidRDefault="00E66EDA">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ج3- القدرة على ابداء الآراء القانونية.</w:t>
            </w:r>
          </w:p>
          <w:p w:rsidR="00E66EDA" w:rsidRDefault="00E66EDA">
            <w:pPr>
              <w:shd w:val="clear" w:color="auto" w:fill="FFFFFF"/>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ج4-  انجاز المهام والاعمال المكلف بها بشكل مستقل .</w:t>
            </w: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w:t>
            </w:r>
          </w:p>
        </w:tc>
      </w:tr>
      <w:tr w:rsidR="00E66EDA" w:rsidTr="00E66EDA">
        <w:trPr>
          <w:trHeight w:val="471"/>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12"/>
              </w:tabs>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    طرائق التعليم والتعلم </w:t>
            </w:r>
          </w:p>
        </w:tc>
      </w:tr>
      <w:tr w:rsidR="00E66EDA" w:rsidTr="00E66EDA">
        <w:trPr>
          <w:trHeight w:val="624"/>
        </w:trPr>
        <w:tc>
          <w:tcPr>
            <w:tcW w:w="9720" w:type="dxa"/>
            <w:tcBorders>
              <w:top w:val="single" w:sz="4" w:space="0" w:color="auto"/>
              <w:left w:val="single" w:sz="4" w:space="0" w:color="auto"/>
              <w:bottom w:val="single" w:sz="4" w:space="0" w:color="auto"/>
              <w:right w:val="single" w:sz="4" w:space="0" w:color="auto"/>
            </w:tcBorders>
          </w:tcPr>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1-</w:t>
            </w:r>
            <w:r>
              <w:rPr>
                <w:rFonts w:ascii="Cambria" w:eastAsia="Calibri" w:hAnsi="Cambria" w:cs="Times New Roman" w:hint="cs"/>
                <w:color w:val="000000"/>
                <w:sz w:val="28"/>
                <w:szCs w:val="28"/>
                <w:rtl/>
                <w:lang w:bidi="ar-IQ"/>
              </w:rPr>
              <w:tab/>
              <w:t>طريقة الالقاء مصحوبة بالاستجواب بتوجيه الاسئلة المباشرة للطلبة واشراكهم في المحاضرة.</w:t>
            </w: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r>
              <w:rPr>
                <w:rFonts w:ascii="Cambria" w:eastAsia="Calibri" w:hAnsi="Cambria" w:cs="Times New Roman" w:hint="cs"/>
                <w:color w:val="000000"/>
                <w:sz w:val="28"/>
                <w:szCs w:val="28"/>
                <w:rtl/>
                <w:lang w:bidi="ar-IQ"/>
              </w:rPr>
              <w:tab/>
              <w:t>تكليف الطالب بكتابة تقارير ذات العلاقة بموضوعات المقرر الدراسي.</w:t>
            </w: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lastRenderedPageBreak/>
              <w:t>3-</w:t>
            </w:r>
            <w:r>
              <w:rPr>
                <w:rFonts w:ascii="Cambria" w:eastAsia="Calibri" w:hAnsi="Cambria" w:cs="Times New Roman" w:hint="cs"/>
                <w:color w:val="000000"/>
                <w:sz w:val="28"/>
                <w:szCs w:val="28"/>
                <w:rtl/>
                <w:lang w:bidi="ar-IQ"/>
              </w:rPr>
              <w:tab/>
              <w:t>فتح حلقات نقاشية في قاعة الدرس واثارة موضوعات خلافية والسماح لهم بأبداء آرائهم.</w:t>
            </w: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E66EDA" w:rsidTr="00E66EDA">
        <w:trPr>
          <w:trHeight w:val="425"/>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 xml:space="preserve">   طرائق التقييم </w:t>
            </w:r>
          </w:p>
        </w:tc>
      </w:tr>
      <w:tr w:rsidR="00E66EDA" w:rsidTr="00E66EDA">
        <w:trPr>
          <w:trHeight w:val="624"/>
        </w:trPr>
        <w:tc>
          <w:tcPr>
            <w:tcW w:w="9720" w:type="dxa"/>
            <w:tcBorders>
              <w:top w:val="single" w:sz="4" w:space="0" w:color="auto"/>
              <w:left w:val="single" w:sz="4" w:space="0" w:color="auto"/>
              <w:bottom w:val="single" w:sz="4" w:space="0" w:color="auto"/>
              <w:right w:val="single" w:sz="4" w:space="0" w:color="auto"/>
            </w:tcBorders>
          </w:tcPr>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1-</w:t>
            </w:r>
            <w:r>
              <w:rPr>
                <w:rFonts w:ascii="Cambria" w:eastAsia="Calibri" w:hAnsi="Cambria" w:cs="Times New Roman" w:hint="cs"/>
                <w:color w:val="000000"/>
                <w:sz w:val="28"/>
                <w:szCs w:val="28"/>
                <w:rtl/>
                <w:lang w:bidi="ar-IQ"/>
              </w:rPr>
              <w:tab/>
              <w:t>اجراء اختبارات شفوية وتحريرية.</w:t>
            </w: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2-</w:t>
            </w:r>
            <w:r>
              <w:rPr>
                <w:rFonts w:ascii="Cambria" w:eastAsia="Calibri" w:hAnsi="Cambria" w:cs="Times New Roman" w:hint="cs"/>
                <w:color w:val="000000"/>
                <w:sz w:val="28"/>
                <w:szCs w:val="28"/>
                <w:rtl/>
                <w:lang w:bidi="ar-IQ"/>
              </w:rPr>
              <w:tab/>
              <w:t>مشاركة الطالب وتفاعله في قاعة الدرس.</w:t>
            </w: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3-</w:t>
            </w:r>
            <w:r>
              <w:rPr>
                <w:rFonts w:ascii="Cambria" w:eastAsia="Calibri" w:hAnsi="Cambria" w:cs="Times New Roman" w:hint="cs"/>
                <w:color w:val="000000"/>
                <w:sz w:val="28"/>
                <w:szCs w:val="28"/>
                <w:rtl/>
                <w:lang w:bidi="ar-IQ"/>
              </w:rPr>
              <w:tab/>
              <w:t>اداء الانشطة والواجبات المكلف بها.</w:t>
            </w:r>
          </w:p>
          <w:p w:rsidR="00E66EDA" w:rsidRDefault="00E66EDA">
            <w:pPr>
              <w:shd w:val="clear" w:color="auto" w:fill="FFFFFF"/>
              <w:autoSpaceDE w:val="0"/>
              <w:autoSpaceDN w:val="0"/>
              <w:adjustRightInd w:val="0"/>
              <w:rPr>
                <w:rFonts w:ascii="Cambria" w:eastAsia="Calibri" w:hAnsi="Cambria" w:cs="Times New Roman"/>
                <w:color w:val="000000"/>
                <w:sz w:val="28"/>
                <w:szCs w:val="28"/>
                <w:rtl/>
                <w:lang w:bidi="ar-IQ"/>
              </w:rPr>
            </w:pPr>
          </w:p>
          <w:p w:rsidR="00E66EDA" w:rsidRDefault="00E66EDA">
            <w:pPr>
              <w:shd w:val="clear" w:color="auto" w:fill="FFFFFF"/>
              <w:autoSpaceDE w:val="0"/>
              <w:autoSpaceDN w:val="0"/>
              <w:adjustRightInd w:val="0"/>
              <w:ind w:left="360"/>
              <w:rPr>
                <w:rFonts w:ascii="Cambria" w:eastAsia="Calibri" w:hAnsi="Cambria" w:cs="Times New Roman"/>
                <w:color w:val="000000"/>
                <w:sz w:val="28"/>
                <w:szCs w:val="28"/>
                <w:lang w:bidi="ar-IQ"/>
              </w:rPr>
            </w:pPr>
          </w:p>
        </w:tc>
      </w:tr>
      <w:tr w:rsidR="00E66EDA" w:rsidTr="00E66EDA">
        <w:trPr>
          <w:trHeight w:val="1584"/>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 - المهارات العامة والتأهيلية المنقولة ( المهارات الأخرى المتعلقة بقابلية التوظيف والتطور الشخصي ).</w:t>
            </w:r>
          </w:p>
          <w:p w:rsidR="00E66EDA" w:rsidRDefault="00E66EDA">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د1- قابلية ان يكون المتخرج ممثلاً قانونياً للإدارات العامة  والاشخاص المعنوية والافراد.</w:t>
            </w:r>
          </w:p>
          <w:p w:rsidR="00E66EDA" w:rsidRDefault="00E66EDA">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د2- ان يكون محامياً متخصصاً في محاكم القضاء الاداري.</w:t>
            </w:r>
          </w:p>
          <w:p w:rsidR="00E66EDA" w:rsidRDefault="00E66EDA">
            <w:pPr>
              <w:shd w:val="clear" w:color="auto" w:fill="FFFFFF"/>
              <w:tabs>
                <w:tab w:val="left" w:pos="687"/>
              </w:tabs>
              <w:autoSpaceDE w:val="0"/>
              <w:autoSpaceDN w:val="0"/>
              <w:adjustRightInd w:val="0"/>
              <w:ind w:left="612"/>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د3- ان يكون ناشطاً في مجال الدفاع عن الحقوق والحريات من تعسف الادارة.</w:t>
            </w:r>
          </w:p>
          <w:p w:rsidR="00E66EDA" w:rsidRDefault="00E66EDA">
            <w:pPr>
              <w:shd w:val="clear" w:color="auto" w:fill="FFFFFF"/>
              <w:tabs>
                <w:tab w:val="left" w:pos="687"/>
              </w:tabs>
              <w:autoSpaceDE w:val="0"/>
              <w:autoSpaceDN w:val="0"/>
              <w:adjustRightInd w:val="0"/>
              <w:ind w:left="612"/>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د4-   قابلية ان يكون باحثاً في الشؤون القانونية والادارية. </w:t>
            </w:r>
          </w:p>
        </w:tc>
      </w:tr>
    </w:tbl>
    <w:p w:rsidR="00E66EDA" w:rsidRDefault="00E66EDA" w:rsidP="00E66EDA">
      <w:pPr>
        <w:shd w:val="clear" w:color="auto" w:fill="FFFFFF"/>
        <w:autoSpaceDE w:val="0"/>
        <w:autoSpaceDN w:val="0"/>
        <w:adjustRightInd w:val="0"/>
        <w:spacing w:after="200" w:line="276" w:lineRule="auto"/>
        <w:rPr>
          <w:sz w:val="28"/>
          <w:szCs w:val="28"/>
          <w:lang w:bidi="ar-IQ"/>
        </w:rPr>
      </w:pPr>
    </w:p>
    <w:tbl>
      <w:tblPr>
        <w:tblpPr w:leftFromText="180" w:rightFromText="180" w:vertAnchor="text" w:horzAnchor="margin" w:tblpXSpec="center" w:tblpY="-56"/>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1260"/>
        <w:gridCol w:w="2160"/>
        <w:gridCol w:w="2160"/>
        <w:gridCol w:w="1440"/>
        <w:gridCol w:w="1440"/>
      </w:tblGrid>
      <w:tr w:rsidR="00E66EDA" w:rsidTr="00E66EDA">
        <w:trPr>
          <w:trHeight w:val="538"/>
        </w:trPr>
        <w:tc>
          <w:tcPr>
            <w:tcW w:w="9720" w:type="dxa"/>
            <w:gridSpan w:val="6"/>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3"/>
              </w:numPr>
              <w:shd w:val="clear" w:color="auto" w:fill="FFFFFF"/>
              <w:tabs>
                <w:tab w:val="left" w:pos="432"/>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lastRenderedPageBreak/>
              <w:t>بنية المقرر</w:t>
            </w:r>
          </w:p>
        </w:tc>
      </w:tr>
      <w:tr w:rsidR="00E66EDA" w:rsidTr="00E66EDA">
        <w:trPr>
          <w:trHeight w:val="907"/>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الأسبوع</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الساعات</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مخرجات التعلم المطلوبة</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اسم الوحدة / أو الموضوع</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طريقة التعليم</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طريقة التقييم</w:t>
            </w:r>
          </w:p>
        </w:tc>
      </w:tr>
      <w:tr w:rsidR="00E66EDA" w:rsidTr="00E66EDA">
        <w:trPr>
          <w:trHeight w:val="22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أ-ب-ج-د</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مقدمة في تعريف القانون الإداري</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1-2-3</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1-2-3</w:t>
            </w:r>
          </w:p>
        </w:tc>
      </w:tr>
      <w:tr w:rsidR="00E66EDA" w:rsidTr="00E66EDA">
        <w:trPr>
          <w:trHeight w:val="39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نشأة القانون الإداري وخصائصه</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4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3</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مصادر القانون الإداري</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2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4</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أساس القانون الإداري وصلته بفروع القانون الأخرى</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7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5</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الشخصية المعنوية ، طبيعتها، وتقسيماتها ،ونتائجها ونهايتها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2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6</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المركزية الإدارية عناصرها وصورها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8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7</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اللامركزية الإدارية وعناصرها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89"/>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8</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التنظيم الإداري في العراق</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5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9</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الضبط الإداري مفهومه وعلاقته بالضبط الإداري الخاص والضبط القضائي، وأغراضه ووسائله</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4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10</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هيأت الضبط الإداري، والقيود التي ترد على حرية الضبط الإداري</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2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11</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اتساع نطاق إجراءات الضبط الإداري</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18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12</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نظرية المرافق العامة، تعريفها، وعناصرها وأنواعها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19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13</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 xml:space="preserve">المبادئ التي تحكم المرفق العام، وطرق </w:t>
            </w:r>
            <w:r>
              <w:rPr>
                <w:rFonts w:ascii="Simplified Arabic" w:hAnsi="Simplified Arabic" w:cs="Simplified Arabic"/>
                <w:b/>
                <w:bCs/>
                <w:sz w:val="24"/>
                <w:szCs w:val="24"/>
                <w:rtl/>
              </w:rPr>
              <w:lastRenderedPageBreak/>
              <w:t>إدارتها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lastRenderedPageBreak/>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16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lastRenderedPageBreak/>
              <w:t>14</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الوظيفة العامة، مفهومها، وتعريف الموظف العام، وعناصره ، وطبيعة العلاقة القانونية التي تربطه بالدولة</w:t>
            </w:r>
            <w:r>
              <w:rPr>
                <w:rFonts w:ascii="Simplified Arabic" w:hAnsi="Simplified Arabic" w:cs="Simplified Arabic"/>
                <w:b/>
                <w:bCs/>
                <w:sz w:val="24"/>
                <w:szCs w:val="24"/>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15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15</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تولي الوظائف العامة والتعيين</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tabs>
                <w:tab w:val="left" w:pos="642"/>
              </w:tabs>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339"/>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16</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واجبات الموظف العام</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32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17</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حقوق الموظف العام ومزاياهم</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331"/>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18</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النظام الانضباطي في الوظيفة العامة</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34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19</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الطعن بقرار فرض العقوبة الانضباطية</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323"/>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20</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انقضاء الرابطة الوظيفية</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55"/>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21</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الأموال العامة والحماية المدنية والجنائية لها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36"/>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22</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استعمال المال العام</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23</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القرارات الإدارية، تعريفها وأركانها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24</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أنواع القرارات الإدارية</w:t>
            </w:r>
            <w:r>
              <w:rPr>
                <w:rFonts w:ascii="Simplified Arabic" w:hAnsi="Simplified Arabic" w:cs="Simplified Arabic"/>
                <w:b/>
                <w:bCs/>
                <w:sz w:val="24"/>
                <w:szCs w:val="24"/>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25</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تنفيذ القرارات الإدارية وانتهاؤها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26</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العقد الإداري، مفهومه وشروطه</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27</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أنواع العقود الإدارية وطرق إبرامها</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28</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eastAsia="Calibri" w:hAnsi="Simplified Arabic" w:cs="Simplified Arabic"/>
                <w:b/>
                <w:bCs/>
                <w:color w:val="000000"/>
                <w:sz w:val="24"/>
                <w:szCs w:val="24"/>
                <w:rtl/>
                <w:lang w:bidi="ar-IQ"/>
              </w:rPr>
              <w:t>3</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الأحكام العامة في تنفيذ العقود الإدارية (سلطة الإدارة في مواجهة المتعاقد معها</w:t>
            </w:r>
            <w:r>
              <w:rPr>
                <w:rFonts w:ascii="Simplified Arabic" w:hAnsi="Simplified Arabic" w:cs="Simplified Arabic"/>
                <w:b/>
                <w:bCs/>
                <w:sz w:val="24"/>
                <w:szCs w:val="24"/>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29</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حقوق المتعاقد مع الإدارة</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r w:rsidR="00E66EDA" w:rsidTr="00E66EDA">
        <w:trPr>
          <w:trHeight w:val="210"/>
        </w:trPr>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lastRenderedPageBreak/>
              <w:t>30</w:t>
            </w:r>
          </w:p>
        </w:tc>
        <w:tc>
          <w:tcPr>
            <w:tcW w:w="12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2</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c>
          <w:tcPr>
            <w:tcW w:w="2160" w:type="dxa"/>
            <w:tcBorders>
              <w:top w:val="single" w:sz="4" w:space="0" w:color="auto"/>
              <w:left w:val="single" w:sz="4" w:space="0" w:color="auto"/>
              <w:bottom w:val="single" w:sz="4" w:space="0" w:color="auto"/>
              <w:right w:val="single" w:sz="4" w:space="0" w:color="auto"/>
            </w:tcBorders>
            <w:hideMark/>
          </w:tcPr>
          <w:p w:rsidR="00E66EDA" w:rsidRDefault="00E66EDA">
            <w:pPr>
              <w:bidi w:val="0"/>
              <w:jc w:val="center"/>
              <w:rPr>
                <w:rFonts w:ascii="Simplified Arabic" w:hAnsi="Simplified Arabic" w:cs="Simplified Arabic"/>
                <w:b/>
                <w:bCs/>
                <w:sz w:val="24"/>
                <w:szCs w:val="24"/>
              </w:rPr>
            </w:pPr>
            <w:r>
              <w:rPr>
                <w:rFonts w:ascii="Simplified Arabic" w:hAnsi="Simplified Arabic" w:cs="Simplified Arabic"/>
                <w:b/>
                <w:bCs/>
                <w:sz w:val="24"/>
                <w:szCs w:val="24"/>
                <w:rtl/>
              </w:rPr>
              <w:t>نهاية العقود الإدارية</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jc w:val="center"/>
              <w:rPr>
                <w:rFonts w:ascii="Simplified Arabic" w:hAnsi="Simplified Arabic" w:cs="Simplified Arabic"/>
                <w:b/>
                <w:bCs/>
                <w:sz w:val="24"/>
                <w:szCs w:val="24"/>
              </w:rPr>
            </w:pPr>
            <w:r>
              <w:rPr>
                <w:rFonts w:ascii="Simplified Arabic" w:hAnsi="Simplified Arabic" w:cs="Simplified Arabic"/>
                <w:b/>
                <w:bCs/>
                <w:sz w:val="24"/>
                <w:szCs w:val="24"/>
                <w:rtl/>
              </w:rPr>
              <w:t>=</w:t>
            </w:r>
          </w:p>
        </w:tc>
        <w:tc>
          <w:tcPr>
            <w:tcW w:w="1440"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jc w:val="center"/>
              <w:rPr>
                <w:rFonts w:ascii="Simplified Arabic" w:eastAsia="Calibri" w:hAnsi="Simplified Arabic" w:cs="Simplified Arabic"/>
                <w:b/>
                <w:bCs/>
                <w:color w:val="000000"/>
                <w:sz w:val="24"/>
                <w:szCs w:val="24"/>
                <w:lang w:bidi="ar-IQ"/>
              </w:rPr>
            </w:pPr>
            <w:r>
              <w:rPr>
                <w:rFonts w:ascii="Simplified Arabic" w:eastAsia="Calibri" w:hAnsi="Simplified Arabic" w:cs="Simplified Arabic"/>
                <w:b/>
                <w:bCs/>
                <w:color w:val="000000"/>
                <w:sz w:val="24"/>
                <w:szCs w:val="24"/>
                <w:rtl/>
                <w:lang w:bidi="ar-IQ"/>
              </w:rPr>
              <w:t>=</w:t>
            </w:r>
          </w:p>
        </w:tc>
      </w:tr>
    </w:tbl>
    <w:p w:rsidR="00E66EDA" w:rsidRDefault="00E66EDA" w:rsidP="00E66EDA">
      <w:pPr>
        <w:shd w:val="clear" w:color="auto" w:fill="FFFFFF"/>
        <w:jc w:val="center"/>
        <w:rPr>
          <w:vanish/>
          <w:rtl/>
        </w:rPr>
      </w:pPr>
    </w:p>
    <w:tbl>
      <w:tblPr>
        <w:bidiVisual/>
        <w:tblW w:w="9720"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07"/>
        <w:gridCol w:w="5713"/>
      </w:tblGrid>
      <w:tr w:rsidR="00E66EDA" w:rsidTr="00E66EDA">
        <w:trPr>
          <w:trHeight w:val="477"/>
        </w:trPr>
        <w:tc>
          <w:tcPr>
            <w:tcW w:w="9720" w:type="dxa"/>
            <w:gridSpan w:val="2"/>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3"/>
              </w:numPr>
              <w:shd w:val="clear" w:color="auto" w:fill="FFFFFF"/>
              <w:tabs>
                <w:tab w:val="left" w:pos="252"/>
                <w:tab w:val="left" w:pos="432"/>
              </w:tabs>
              <w:autoSpaceDE w:val="0"/>
              <w:autoSpaceDN w:val="0"/>
              <w:adjustRightInd w:val="0"/>
              <w:jc w:val="center"/>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البنية التحتية</w:t>
            </w:r>
          </w:p>
        </w:tc>
      </w:tr>
      <w:tr w:rsidR="00E66EDA" w:rsidTr="00E66EDA">
        <w:trPr>
          <w:trHeight w:val="570"/>
        </w:trPr>
        <w:tc>
          <w:tcPr>
            <w:tcW w:w="4007"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1ـ الكتب المقررة المطلوبة </w:t>
            </w:r>
          </w:p>
        </w:tc>
        <w:tc>
          <w:tcPr>
            <w:tcW w:w="5713"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eastAsia="Calibri" w:cs="Times New Roman"/>
                <w:color w:val="000000"/>
                <w:sz w:val="28"/>
                <w:szCs w:val="28"/>
                <w:lang w:bidi="ar-IQ"/>
              </w:rPr>
            </w:pPr>
            <w:r>
              <w:rPr>
                <w:rFonts w:eastAsia="Calibri" w:cs="Times New Roman" w:hint="cs"/>
                <w:color w:val="000000"/>
                <w:sz w:val="28"/>
                <w:szCs w:val="28"/>
                <w:rtl/>
                <w:lang w:bidi="ar-IQ"/>
              </w:rPr>
              <w:t>د. محمد علي بدير ود. عصام عبد الوهاب البرزنجي، ود. ياسين السلامي، مبادىء واحكام القانون الاداري، العراق، 1993م.</w:t>
            </w:r>
          </w:p>
        </w:tc>
      </w:tr>
      <w:tr w:rsidR="00E66EDA" w:rsidTr="00E66EDA">
        <w:trPr>
          <w:trHeight w:val="1005"/>
        </w:trPr>
        <w:tc>
          <w:tcPr>
            <w:tcW w:w="4007"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2ـ المراجع الرئيسية (المصادر)  </w:t>
            </w:r>
          </w:p>
        </w:tc>
        <w:tc>
          <w:tcPr>
            <w:tcW w:w="5713"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6"/>
              </w:numPr>
              <w:shd w:val="clear" w:color="auto" w:fill="FFFFFF"/>
              <w:autoSpaceDE w:val="0"/>
              <w:autoSpaceDN w:val="0"/>
              <w:adjustRightInd w:val="0"/>
              <w:rPr>
                <w:rFonts w:eastAsia="Calibri" w:cs="Times New Roman"/>
                <w:color w:val="000000"/>
                <w:sz w:val="28"/>
                <w:szCs w:val="28"/>
                <w:rtl/>
                <w:lang w:bidi="ar-IQ"/>
              </w:rPr>
            </w:pPr>
            <w:r>
              <w:rPr>
                <w:rFonts w:eastAsia="Calibri" w:cs="Times New Roman" w:hint="cs"/>
                <w:color w:val="000000"/>
                <w:sz w:val="28"/>
                <w:szCs w:val="28"/>
                <w:rtl/>
                <w:lang w:bidi="ar-IQ"/>
              </w:rPr>
              <w:t>سعاد الشرقاوي، القانون الإداري، دار النهضة العربية، القاهرة، 2009م.</w:t>
            </w:r>
          </w:p>
          <w:p w:rsidR="00E66EDA" w:rsidRDefault="00E66EDA">
            <w:pPr>
              <w:shd w:val="clear" w:color="auto" w:fill="FFFFFF"/>
              <w:autoSpaceDE w:val="0"/>
              <w:autoSpaceDN w:val="0"/>
              <w:adjustRightInd w:val="0"/>
              <w:ind w:left="720"/>
              <w:rPr>
                <w:rFonts w:eastAsia="Calibri" w:cs="Times New Roman"/>
                <w:color w:val="000000"/>
                <w:sz w:val="28"/>
                <w:szCs w:val="28"/>
                <w:rtl/>
                <w:lang w:bidi="ar-IQ"/>
              </w:rPr>
            </w:pPr>
            <w:r>
              <w:rPr>
                <w:rFonts w:eastAsia="Calibri" w:cs="Times New Roman" w:hint="cs"/>
                <w:color w:val="000000"/>
                <w:sz w:val="28"/>
                <w:szCs w:val="28"/>
                <w:rtl/>
                <w:lang w:bidi="ar-IQ"/>
              </w:rPr>
              <w:t xml:space="preserve">- هاني علي الطهرواي، القانون الإداري، دار الثقافة، عمّان، 2009م. </w:t>
            </w:r>
          </w:p>
          <w:p w:rsidR="00E66EDA" w:rsidRDefault="00E66EDA" w:rsidP="00311CE3">
            <w:pPr>
              <w:numPr>
                <w:ilvl w:val="0"/>
                <w:numId w:val="6"/>
              </w:numPr>
              <w:shd w:val="clear" w:color="auto" w:fill="FFFFFF"/>
              <w:autoSpaceDE w:val="0"/>
              <w:autoSpaceDN w:val="0"/>
              <w:adjustRightInd w:val="0"/>
              <w:rPr>
                <w:rFonts w:eastAsia="Calibri" w:cs="Times New Roman"/>
                <w:color w:val="000000"/>
                <w:sz w:val="28"/>
                <w:szCs w:val="28"/>
                <w:rtl/>
                <w:lang w:bidi="ar-IQ"/>
              </w:rPr>
            </w:pPr>
            <w:r>
              <w:rPr>
                <w:rFonts w:eastAsia="Calibri" w:cs="Times New Roman" w:hint="cs"/>
                <w:color w:val="000000"/>
                <w:sz w:val="28"/>
                <w:szCs w:val="28"/>
                <w:rtl/>
                <w:lang w:bidi="ar-IQ"/>
              </w:rPr>
              <w:t>د.شاب توما منصور، القانون الإداري(دراسة مقارنة)، الجزء الأول، بغداد، 1976م.</w:t>
            </w:r>
          </w:p>
          <w:p w:rsidR="00E66EDA" w:rsidRDefault="00E66EDA" w:rsidP="00311CE3">
            <w:pPr>
              <w:numPr>
                <w:ilvl w:val="0"/>
                <w:numId w:val="6"/>
              </w:numPr>
              <w:shd w:val="clear" w:color="auto" w:fill="FFFFFF"/>
              <w:autoSpaceDE w:val="0"/>
              <w:autoSpaceDN w:val="0"/>
              <w:adjustRightInd w:val="0"/>
              <w:rPr>
                <w:rFonts w:eastAsia="Calibri" w:cs="Times New Roman"/>
                <w:color w:val="000000"/>
                <w:sz w:val="28"/>
                <w:szCs w:val="28"/>
                <w:lang w:bidi="ar-IQ"/>
              </w:rPr>
            </w:pPr>
            <w:r>
              <w:rPr>
                <w:rFonts w:eastAsia="Calibri" w:cs="Times New Roman" w:hint="cs"/>
                <w:color w:val="000000"/>
                <w:sz w:val="28"/>
                <w:szCs w:val="28"/>
                <w:rtl/>
                <w:lang w:bidi="ar-IQ"/>
              </w:rPr>
              <w:t>غازي فيصل مهدي،الشخصية المعنوية وتطبيقاتها في التشريع العراقي، رسالة ماجستير مقدمة إلى كلية القانون في جامعة بغداد، 1985.</w:t>
            </w:r>
          </w:p>
        </w:tc>
      </w:tr>
      <w:tr w:rsidR="00E66EDA" w:rsidTr="00E66EDA">
        <w:trPr>
          <w:trHeight w:val="1247"/>
        </w:trPr>
        <w:tc>
          <w:tcPr>
            <w:tcW w:w="4007"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اـ الكتب والمراجع التي يوصى بها                 ( المجلات العلمية , التقارير ,....  )</w:t>
            </w:r>
          </w:p>
        </w:tc>
        <w:tc>
          <w:tcPr>
            <w:tcW w:w="5713"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6"/>
              </w:numPr>
              <w:shd w:val="clear" w:color="auto" w:fill="FFFFFF"/>
              <w:autoSpaceDE w:val="0"/>
              <w:autoSpaceDN w:val="0"/>
              <w:adjustRightInd w:val="0"/>
              <w:rPr>
                <w:rFonts w:eastAsia="Calibri" w:cs="Times New Roman"/>
                <w:color w:val="000000"/>
                <w:sz w:val="28"/>
                <w:szCs w:val="28"/>
                <w:rtl/>
                <w:lang w:bidi="ar-IQ"/>
              </w:rPr>
            </w:pPr>
            <w:r>
              <w:rPr>
                <w:rFonts w:eastAsia="Calibri" w:cs="Times New Roman" w:hint="cs"/>
                <w:color w:val="000000"/>
                <w:sz w:val="28"/>
                <w:szCs w:val="28"/>
                <w:rtl/>
                <w:lang w:bidi="ar-IQ"/>
              </w:rPr>
              <w:t>مجلات العلوم القانونية الصادرة من كليات القانون في الجامعات العراقية.</w:t>
            </w:r>
          </w:p>
          <w:p w:rsidR="00E66EDA" w:rsidRDefault="00E66EDA" w:rsidP="00311CE3">
            <w:pPr>
              <w:numPr>
                <w:ilvl w:val="0"/>
                <w:numId w:val="6"/>
              </w:numPr>
              <w:shd w:val="clear" w:color="auto" w:fill="FFFFFF"/>
              <w:autoSpaceDE w:val="0"/>
              <w:autoSpaceDN w:val="0"/>
              <w:adjustRightInd w:val="0"/>
              <w:rPr>
                <w:rFonts w:eastAsia="Calibri" w:cs="Times New Roman"/>
                <w:color w:val="000000"/>
                <w:sz w:val="28"/>
                <w:szCs w:val="28"/>
                <w:lang w:bidi="ar-IQ"/>
              </w:rPr>
            </w:pPr>
            <w:r>
              <w:rPr>
                <w:rFonts w:eastAsia="Calibri" w:cs="Times New Roman" w:hint="cs"/>
                <w:color w:val="000000"/>
                <w:sz w:val="28"/>
                <w:szCs w:val="28"/>
                <w:rtl/>
                <w:lang w:bidi="ar-IQ"/>
              </w:rPr>
              <w:t>مجموعات القرارات والفتاوي الصادرة من مجلس شورى الدولة العراقي.</w:t>
            </w:r>
          </w:p>
        </w:tc>
      </w:tr>
      <w:tr w:rsidR="00E66EDA" w:rsidTr="00E66EDA">
        <w:trPr>
          <w:trHeight w:val="1247"/>
        </w:trPr>
        <w:tc>
          <w:tcPr>
            <w:tcW w:w="4007" w:type="dxa"/>
            <w:tcBorders>
              <w:top w:val="single" w:sz="4" w:space="0" w:color="auto"/>
              <w:left w:val="single" w:sz="4" w:space="0" w:color="auto"/>
              <w:bottom w:val="single" w:sz="4" w:space="0" w:color="auto"/>
              <w:right w:val="single" w:sz="4" w:space="0" w:color="auto"/>
            </w:tcBorders>
            <w:hideMark/>
          </w:tcPr>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ب ـ المراجع الالكترونية, مواقع الانترنيت ....</w:t>
            </w:r>
          </w:p>
        </w:tc>
        <w:tc>
          <w:tcPr>
            <w:tcW w:w="5713" w:type="dxa"/>
            <w:tcBorders>
              <w:top w:val="single" w:sz="4" w:space="0" w:color="auto"/>
              <w:left w:val="single" w:sz="4" w:space="0" w:color="auto"/>
              <w:bottom w:val="single" w:sz="4" w:space="0" w:color="auto"/>
              <w:right w:val="single" w:sz="4" w:space="0" w:color="auto"/>
            </w:tcBorders>
            <w:hideMark/>
          </w:tcPr>
          <w:p w:rsidR="00E66EDA" w:rsidRDefault="00BB79BD">
            <w:pPr>
              <w:shd w:val="clear" w:color="auto" w:fill="FFFFFF"/>
              <w:autoSpaceDE w:val="0"/>
              <w:autoSpaceDN w:val="0"/>
              <w:adjustRightInd w:val="0"/>
              <w:rPr>
                <w:rFonts w:eastAsia="Calibri" w:cs="Times New Roman"/>
                <w:color w:val="000000"/>
                <w:sz w:val="28"/>
                <w:szCs w:val="28"/>
                <w:rtl/>
                <w:lang w:bidi="ar-IQ"/>
              </w:rPr>
            </w:pPr>
            <w:hyperlink r:id="rId5" w:history="1">
              <w:r w:rsidR="00E66EDA">
                <w:rPr>
                  <w:rStyle w:val="Hyperlink"/>
                  <w:rFonts w:eastAsia="Calibri" w:cs="Times New Roman"/>
                  <w:sz w:val="28"/>
                  <w:szCs w:val="28"/>
                  <w:lang w:bidi="ar-IQ"/>
                </w:rPr>
                <w:t>http://www.moj.gov.iq</w:t>
              </w:r>
            </w:hyperlink>
            <w:r w:rsidR="00E66EDA">
              <w:rPr>
                <w:rFonts w:eastAsia="Calibri" w:cs="Times New Roman"/>
                <w:color w:val="000000"/>
                <w:sz w:val="28"/>
                <w:szCs w:val="28"/>
                <w:lang w:bidi="ar-IQ"/>
              </w:rPr>
              <w:t xml:space="preserve">   </w:t>
            </w:r>
            <w:r w:rsidR="00E66EDA">
              <w:rPr>
                <w:rFonts w:eastAsia="Calibri" w:cs="Times New Roman" w:hint="cs"/>
                <w:color w:val="000000"/>
                <w:sz w:val="28"/>
                <w:szCs w:val="28"/>
                <w:rtl/>
                <w:lang w:bidi="ar-IQ"/>
              </w:rPr>
              <w:t xml:space="preserve"> موقع وزارة العدل العراقية</w:t>
            </w:r>
          </w:p>
          <w:p w:rsidR="00E66EDA" w:rsidRDefault="00BB79BD">
            <w:pPr>
              <w:shd w:val="clear" w:color="auto" w:fill="FFFFFF"/>
              <w:autoSpaceDE w:val="0"/>
              <w:autoSpaceDN w:val="0"/>
              <w:adjustRightInd w:val="0"/>
              <w:rPr>
                <w:rFonts w:eastAsia="Calibri" w:cs="Times New Roman"/>
                <w:color w:val="000000"/>
                <w:sz w:val="28"/>
                <w:szCs w:val="28"/>
                <w:rtl/>
                <w:lang w:bidi="ar-IQ"/>
              </w:rPr>
            </w:pPr>
            <w:hyperlink r:id="rId6" w:history="1">
              <w:r w:rsidR="00E66EDA">
                <w:rPr>
                  <w:rStyle w:val="Hyperlink"/>
                  <w:rFonts w:eastAsia="Calibri" w:cs="Times New Roman"/>
                  <w:sz w:val="28"/>
                  <w:szCs w:val="28"/>
                  <w:lang w:bidi="ar-IQ"/>
                </w:rPr>
                <w:t>http://iraqld.iq</w:t>
              </w:r>
              <w:r w:rsidR="00E66EDA">
                <w:rPr>
                  <w:rStyle w:val="Hyperlink"/>
                  <w:rFonts w:eastAsia="Calibri" w:cs="Times New Roman" w:hint="cs"/>
                  <w:sz w:val="28"/>
                  <w:szCs w:val="28"/>
                  <w:rtl/>
                  <w:lang w:bidi="ar-IQ"/>
                </w:rPr>
                <w:t>/</w:t>
              </w:r>
            </w:hyperlink>
            <w:r w:rsidR="00E66EDA">
              <w:rPr>
                <w:rFonts w:eastAsia="Calibri" w:cs="Times New Roman" w:hint="cs"/>
                <w:color w:val="000000"/>
                <w:sz w:val="28"/>
                <w:szCs w:val="28"/>
                <w:rtl/>
                <w:lang w:bidi="ar-IQ"/>
              </w:rPr>
              <w:t xml:space="preserve">       قاعدة التنظيمات والتشريعات العراقية</w:t>
            </w:r>
          </w:p>
          <w:p w:rsidR="00E66EDA" w:rsidRDefault="00BB79BD">
            <w:pPr>
              <w:shd w:val="clear" w:color="auto" w:fill="FFFFFF"/>
              <w:autoSpaceDE w:val="0"/>
              <w:autoSpaceDN w:val="0"/>
              <w:adjustRightInd w:val="0"/>
              <w:rPr>
                <w:rFonts w:eastAsia="Calibri" w:cs="Times New Roman"/>
                <w:color w:val="000000"/>
                <w:sz w:val="28"/>
                <w:szCs w:val="28"/>
                <w:lang w:bidi="ar-IQ"/>
              </w:rPr>
            </w:pPr>
            <w:hyperlink r:id="rId7" w:history="1">
              <w:r w:rsidR="00E66EDA">
                <w:rPr>
                  <w:rStyle w:val="Hyperlink"/>
                  <w:rFonts w:eastAsia="Calibri" w:cs="Times New Roman"/>
                  <w:sz w:val="28"/>
                  <w:szCs w:val="28"/>
                  <w:lang w:bidi="ar-IQ"/>
                </w:rPr>
                <w:t>http://www.iasj.net</w:t>
              </w:r>
            </w:hyperlink>
            <w:r w:rsidR="00E66EDA">
              <w:rPr>
                <w:rFonts w:eastAsia="Calibri" w:cs="Times New Roman" w:hint="cs"/>
                <w:color w:val="000000"/>
                <w:sz w:val="28"/>
                <w:szCs w:val="28"/>
                <w:rtl/>
                <w:lang w:bidi="ar-IQ"/>
              </w:rPr>
              <w:t xml:space="preserve">        المجلات العلمية الاكاديمية العراقية </w:t>
            </w:r>
          </w:p>
        </w:tc>
      </w:tr>
    </w:tbl>
    <w:p w:rsidR="00E66EDA" w:rsidRDefault="00E66EDA" w:rsidP="00E66EDA">
      <w:pPr>
        <w:shd w:val="clear" w:color="auto" w:fill="FFFFFF"/>
      </w:pPr>
    </w:p>
    <w:tbl>
      <w:tblPr>
        <w:bidiVisual/>
        <w:tblW w:w="9720" w:type="dxa"/>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0"/>
      </w:tblGrid>
      <w:tr w:rsidR="00E66EDA" w:rsidTr="00E66EDA">
        <w:trPr>
          <w:trHeight w:val="419"/>
        </w:trPr>
        <w:tc>
          <w:tcPr>
            <w:tcW w:w="9720" w:type="dxa"/>
            <w:tcBorders>
              <w:top w:val="single" w:sz="4" w:space="0" w:color="auto"/>
              <w:left w:val="single" w:sz="4" w:space="0" w:color="auto"/>
              <w:bottom w:val="single" w:sz="4" w:space="0" w:color="auto"/>
              <w:right w:val="single" w:sz="4" w:space="0" w:color="auto"/>
            </w:tcBorders>
            <w:hideMark/>
          </w:tcPr>
          <w:p w:rsidR="00E66EDA" w:rsidRDefault="00E66EDA" w:rsidP="00311CE3">
            <w:pPr>
              <w:numPr>
                <w:ilvl w:val="0"/>
                <w:numId w:val="3"/>
              </w:numPr>
              <w:shd w:val="clear" w:color="auto" w:fill="FFFFFF"/>
              <w:tabs>
                <w:tab w:val="left" w:pos="507"/>
              </w:tabs>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 xml:space="preserve">خطة تطوير المقرر الدراسي </w:t>
            </w:r>
          </w:p>
        </w:tc>
      </w:tr>
      <w:tr w:rsidR="00E66EDA" w:rsidTr="00E66EDA">
        <w:trPr>
          <w:trHeight w:val="495"/>
        </w:trPr>
        <w:tc>
          <w:tcPr>
            <w:tcW w:w="9720" w:type="dxa"/>
            <w:tcBorders>
              <w:top w:val="single" w:sz="4" w:space="0" w:color="auto"/>
              <w:left w:val="single" w:sz="4" w:space="0" w:color="auto"/>
              <w:bottom w:val="single" w:sz="4" w:space="0" w:color="auto"/>
              <w:right w:val="single" w:sz="4" w:space="0" w:color="auto"/>
            </w:tcBorders>
          </w:tcPr>
          <w:p w:rsidR="00E66EDA" w:rsidRDefault="00E66EDA" w:rsidP="00311CE3">
            <w:pPr>
              <w:numPr>
                <w:ilvl w:val="0"/>
                <w:numId w:val="7"/>
              </w:numPr>
              <w:shd w:val="clear" w:color="auto" w:fill="FFFFFF"/>
              <w:autoSpaceDE w:val="0"/>
              <w:autoSpaceDN w:val="0"/>
              <w:adjustRightInd w:val="0"/>
              <w:rPr>
                <w:rFonts w:ascii="Cambria" w:eastAsia="Calibri" w:hAnsi="Cambria" w:cs="Times New Roman"/>
                <w:color w:val="000000"/>
                <w:sz w:val="28"/>
                <w:szCs w:val="28"/>
                <w:rtl/>
                <w:lang w:bidi="ar-IQ"/>
              </w:rPr>
            </w:pPr>
            <w:r>
              <w:rPr>
                <w:rFonts w:ascii="Cambria" w:eastAsia="Calibri" w:hAnsi="Cambria" w:cs="Times New Roman" w:hint="cs"/>
                <w:color w:val="000000"/>
                <w:sz w:val="28"/>
                <w:szCs w:val="28"/>
                <w:rtl/>
                <w:lang w:bidi="ar-IQ"/>
              </w:rPr>
              <w:t>تحديث مستوى المقرر بشكل دوري حتى يعكس جديد القوانين والانظمة في ظل النشاط المتزايد في مجال العمل التشريعي.</w:t>
            </w:r>
          </w:p>
          <w:p w:rsidR="00E66EDA" w:rsidRDefault="00E66EDA" w:rsidP="00311CE3">
            <w:pPr>
              <w:numPr>
                <w:ilvl w:val="0"/>
                <w:numId w:val="7"/>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الاستفادة من تكنلوجيا  المعلومات والانترنت .</w:t>
            </w:r>
          </w:p>
          <w:p w:rsidR="00E66EDA" w:rsidRDefault="00E66EDA" w:rsidP="00311CE3">
            <w:pPr>
              <w:numPr>
                <w:ilvl w:val="0"/>
                <w:numId w:val="7"/>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اعطاء النشاط البحثي اهمية اكثر .</w:t>
            </w:r>
          </w:p>
          <w:p w:rsidR="00E66EDA" w:rsidRDefault="00E66EDA" w:rsidP="00311CE3">
            <w:pPr>
              <w:numPr>
                <w:ilvl w:val="0"/>
                <w:numId w:val="7"/>
              </w:numPr>
              <w:shd w:val="clear" w:color="auto" w:fill="FFFFFF"/>
              <w:autoSpaceDE w:val="0"/>
              <w:autoSpaceDN w:val="0"/>
              <w:adjustRightInd w:val="0"/>
              <w:rPr>
                <w:rFonts w:ascii="Cambria" w:eastAsia="Calibri" w:hAnsi="Cambria" w:cs="Times New Roman"/>
                <w:color w:val="000000"/>
                <w:sz w:val="28"/>
                <w:szCs w:val="28"/>
                <w:lang w:bidi="ar-IQ"/>
              </w:rPr>
            </w:pPr>
            <w:r>
              <w:rPr>
                <w:rFonts w:ascii="Cambria" w:eastAsia="Calibri" w:hAnsi="Cambria" w:cs="Times New Roman" w:hint="cs"/>
                <w:color w:val="000000"/>
                <w:sz w:val="28"/>
                <w:szCs w:val="28"/>
                <w:rtl/>
                <w:lang w:bidi="ar-IQ"/>
              </w:rPr>
              <w:t>تخصيص ساعات عملية لربط المبادئ النظرية بالجانب العملي ، والاستعانة بالمختصين من القضاة والمستشارين في محاكم القضاء الاداري .</w:t>
            </w:r>
          </w:p>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p>
          <w:p w:rsidR="00E66EDA" w:rsidRDefault="00E66EDA">
            <w:pPr>
              <w:shd w:val="clear" w:color="auto" w:fill="FFFFFF"/>
              <w:autoSpaceDE w:val="0"/>
              <w:autoSpaceDN w:val="0"/>
              <w:adjustRightInd w:val="0"/>
              <w:rPr>
                <w:rFonts w:ascii="Cambria" w:eastAsia="Calibri" w:hAnsi="Cambria" w:cs="Times New Roman"/>
                <w:color w:val="000000"/>
                <w:sz w:val="28"/>
                <w:szCs w:val="28"/>
                <w:rtl/>
                <w:lang w:bidi="ar-IQ"/>
              </w:rPr>
            </w:pPr>
          </w:p>
          <w:p w:rsidR="00E66EDA" w:rsidRDefault="00E66EDA">
            <w:pPr>
              <w:shd w:val="clear" w:color="auto" w:fill="FFFFFF"/>
              <w:autoSpaceDE w:val="0"/>
              <w:autoSpaceDN w:val="0"/>
              <w:adjustRightInd w:val="0"/>
              <w:rPr>
                <w:rFonts w:ascii="Cambria" w:eastAsia="Calibri" w:hAnsi="Cambria" w:cs="Times New Roman"/>
                <w:color w:val="000000"/>
                <w:sz w:val="28"/>
                <w:szCs w:val="28"/>
                <w:lang w:bidi="ar-IQ"/>
              </w:rPr>
            </w:pPr>
          </w:p>
        </w:tc>
      </w:tr>
    </w:tbl>
    <w:p w:rsidR="00E66EDA" w:rsidRDefault="00E66EDA" w:rsidP="00E66EDA">
      <w:pPr>
        <w:shd w:val="clear" w:color="auto" w:fill="FFFFFF"/>
        <w:spacing w:after="240" w:line="276" w:lineRule="auto"/>
        <w:rPr>
          <w:sz w:val="24"/>
          <w:szCs w:val="24"/>
          <w:rtl/>
          <w:lang w:bidi="ar-IQ"/>
        </w:rPr>
      </w:pPr>
    </w:p>
    <w:p w:rsidR="00D26E65" w:rsidRDefault="007F4DB0">
      <w:bookmarkStart w:id="0" w:name="_GoBack"/>
      <w:bookmarkEnd w:id="0"/>
    </w:p>
    <w:sectPr w:rsidR="00D26E65" w:rsidSect="006549C5">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57B9C"/>
    <w:multiLevelType w:val="hybridMultilevel"/>
    <w:tmpl w:val="8066260C"/>
    <w:lvl w:ilvl="0" w:tplc="D6CCF90A">
      <w:start w:val="8"/>
      <w:numFmt w:val="bullet"/>
      <w:lvlText w:val="-"/>
      <w:lvlJc w:val="left"/>
      <w:pPr>
        <w:ind w:left="720" w:hanging="360"/>
      </w:pPr>
      <w:rPr>
        <w:rFonts w:ascii="Traditional Arabic" w:eastAsia="Calibri" w:hAnsi="Cambria" w:cs="Traditional Arabic"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38B722E"/>
    <w:multiLevelType w:val="hybridMultilevel"/>
    <w:tmpl w:val="5B7C2E80"/>
    <w:lvl w:ilvl="0" w:tplc="12A482E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AF85918"/>
    <w:multiLevelType w:val="hybridMultilevel"/>
    <w:tmpl w:val="C2AA91DE"/>
    <w:lvl w:ilvl="0" w:tplc="7DD82F74">
      <w:start w:val="10"/>
      <w:numFmt w:val="decimal"/>
      <w:lvlText w:val="%1."/>
      <w:lvlJc w:val="left"/>
      <w:pPr>
        <w:ind w:left="735" w:hanging="375"/>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FB56F0D"/>
    <w:multiLevelType w:val="hybridMultilevel"/>
    <w:tmpl w:val="3FDE8140"/>
    <w:lvl w:ilvl="0" w:tplc="12A482E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0807863"/>
    <w:multiLevelType w:val="hybridMultilevel"/>
    <w:tmpl w:val="B148C780"/>
    <w:lvl w:ilvl="0" w:tplc="2D3E0DC6">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5">
    <w:nsid w:val="6C791ED4"/>
    <w:multiLevelType w:val="hybridMultilevel"/>
    <w:tmpl w:val="0F34AA06"/>
    <w:lvl w:ilvl="0" w:tplc="12A482E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6EDA"/>
    <w:rsid w:val="0018769B"/>
    <w:rsid w:val="00247F0B"/>
    <w:rsid w:val="00381E71"/>
    <w:rsid w:val="004137DA"/>
    <w:rsid w:val="004F4DF9"/>
    <w:rsid w:val="006549C5"/>
    <w:rsid w:val="007D10ED"/>
    <w:rsid w:val="007F4DB0"/>
    <w:rsid w:val="008100DA"/>
    <w:rsid w:val="00BB79BD"/>
    <w:rsid w:val="00D657CB"/>
    <w:rsid w:val="00E66ED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EDA"/>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E66E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EDA"/>
    <w:pPr>
      <w:bidi/>
      <w:spacing w:after="0" w:line="240" w:lineRule="auto"/>
    </w:pPr>
    <w:rPr>
      <w:rFonts w:ascii="Times New Roman" w:eastAsia="Times New Roman" w:hAnsi="Times New Roman" w:cs="Traditional Arabic"/>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semiHidden/>
    <w:unhideWhenUsed/>
    <w:rsid w:val="00E66EDA"/>
    <w:rPr>
      <w:color w:val="0000FF"/>
      <w:u w:val="single"/>
    </w:rPr>
  </w:style>
</w:styles>
</file>

<file path=word/webSettings.xml><?xml version="1.0" encoding="utf-8"?>
<w:webSettings xmlns:r="http://schemas.openxmlformats.org/officeDocument/2006/relationships" xmlns:w="http://schemas.openxmlformats.org/wordprocessingml/2006/main">
  <w:divs>
    <w:div w:id="93463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asj.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raqld.iq/" TargetMode="External"/><Relationship Id="rId5" Type="http://schemas.openxmlformats.org/officeDocument/2006/relationships/hyperlink" Target="http://www.moj.gov.iq"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986</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DR.Ahmed Saker 2O14</cp:lastModifiedBy>
  <cp:revision>6</cp:revision>
  <dcterms:created xsi:type="dcterms:W3CDTF">2018-03-05T01:42:00Z</dcterms:created>
  <dcterms:modified xsi:type="dcterms:W3CDTF">2018-03-05T05:20:00Z</dcterms:modified>
</cp:coreProperties>
</file>